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124 vom 2. November 2016</w:t>
      </w:r>
    </w:p>
    <w:p>
      <w:r>
        <w:t>FR Kantonsgericht, 2016-11-02, FR</w:t>
      </w:r>
    </w:p>
    <w:p>
      <w:r>
        <w:rPr>
          <w:b/>
        </w:rPr>
        <w:t xml:space="preserve">Quelle: </w:t>
      </w:r>
      <w:r>
        <w:t>https://mcp.opencaselaw.ch/entscheid/fr_gerichte_101 2016 124</w:t>
      </w:r>
    </w:p>
    <w:p>
      <w:r>
        <w:t>FR: FR_GERICHTE 101 2016 124 du 2 novembre 2016</w:t>
      </w:r>
    </w:p>
    <w:p>
      <w:r>
        <w:t>IT: FR_GERICHTE 101 2016 124 del 2 novembre 2016</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23</w:t>
      </w:r>
    </w:p>
    <w:p>
      <w:r>
        <w:t>juillet 2015 pièce 6). Par mémoire déposé au greffe le 24 juillet 2015, A.________ SA a requis, avec clause d’urgence, l’inscription provisoire en sa faveur d’hypothèques légales des artisans et entrepreneurs sur les art. kkk (CHF 2'134'561.10 avec intérêts à 5% dès le 24 juillet 2015), hhh (CHF 67'928.10 avec intérêts à 5% dès le 24 juillet 2015), fff (CHF 181'000.20 avec intérêts à 5% dès le 24 juillet 2015), iii (CHF 67'928.10 avec intérêts à 5% dès le 24 juillet 2015) et jjj (CHF 67'928.10 avec intérêts à 5% dès le 24 juillet 2015) RF de G.________, alors propriété de B.________ SA. Par décision de mesures superprovisionnelles du même jour, le Président du Tribunal civil de la Sarine (ci-après: le Président du tribunal) a admis cette requête. L'art. fff RF de G.________ est devenu entre-temps propriété de la société D.________ et les art. hhh, iii et jjj RF de G.________ propriétés de la société C.________ SA, l'art. kkk RF de G.________ demeurant propriété de B.________ SA. B. Le 23 mars 2016, le Président du tribunal, après avoir entendu les parties, a ordonné la radiation des hypothèques légales précitées. En substance, il a retenu que les ouvrages avaient été livrés le 6 janvier 2015, respectivement le 17 février 2015, et que seuls des travaux d'importance mineure avaient été effectués après ces dates, de sorte que la requête déposée le</w:t>
      </w:r>
    </w:p>
    <w:p>
      <w:r>
        <w:rPr>
          <w:b/>
        </w:rPr>
        <w:t>E. 24</w:t>
      </w:r>
    </w:p>
    <w:p>
      <w:r>
        <w:t>juillet 2015 en faveur de A.________ SA est maintenue: - sur le bien-fonds art. fff du cadastre de G.________, propriété de D.________, à concurrence de CHF 181'000.20 avec intérêts à 5% dès le 24 juillet 2015; - sur le bien-fonds art. hhh du cadastre de G.________, propriété de C.________ SA, à concurrence de CHF 67'928.10 avec intérêts à 5% dès le 24 juillet 2015; - sur le bien-fonds art. iii du cadastre de G.________, propriété de C.________ SA, à concurrence de de CHF 67'928.10 avec intérêt à 5% dès le 24 juillet 2015; - sur le bien-fonds art. jjj du cadastre de G.________, propriété de C.________ SA, à concurrence de CHF 67'928.10 avec intérêt à 5% dès le 24 juillet 2015; - sur le bien-fonds art. kkk du cadastre de G.________, propriété de B.________ SA, à concurrence de 2'134'561.10 avec intérêt à 5% dès le 24 juillet 2015. 2. Un délai de trois mois est imparti à A.________ SA pour introduire une action au fond, faute de quoi l’inscription provisoire sera caduque. 3. Les frais de première instance sont réservés." II. a) Les frais de la procédure d’appel sont mis à la charge de B.________, C.________ SA et D.________, solidairement entre elles. b) Les frais judicaires sont fixés à CHF 5'000.-. Ils sont prélevés sur l’avance effectuée par A.________ SA, qui a droit à leur remboursement par B.________, C.________ SA et D.________. c) Les dépens de A.________ SA sont fixés à CHF 4'913.65, TVA par CHF 364.- incluse.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 novembre 2016/cfa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